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21" w:rsidRDefault="00B23121" w:rsidP="00B23121">
      <w:pPr>
        <w:pStyle w:val="NormlWeb"/>
        <w:numPr>
          <w:ilvl w:val="0"/>
          <w:numId w:val="5"/>
        </w:numPr>
        <w:spacing w:before="0" w:after="0"/>
        <w:jc w:val="right"/>
        <w:rPr>
          <w:b/>
          <w:bCs/>
        </w:rPr>
      </w:pPr>
      <w:r>
        <w:rPr>
          <w:b/>
          <w:bCs/>
        </w:rPr>
        <w:t>sz. melléklet</w:t>
      </w:r>
    </w:p>
    <w:p w:rsidR="00B23121" w:rsidRDefault="00B23121" w:rsidP="00B23121">
      <w:pPr>
        <w:pStyle w:val="NormlWeb"/>
        <w:spacing w:before="0" w:after="0"/>
        <w:ind w:left="720"/>
        <w:jc w:val="right"/>
        <w:rPr>
          <w:b/>
          <w:bCs/>
        </w:rPr>
      </w:pPr>
    </w:p>
    <w:p w:rsidR="00B23121" w:rsidRPr="003A2743" w:rsidRDefault="00B23121" w:rsidP="00B23121">
      <w:pPr>
        <w:jc w:val="center"/>
        <w:rPr>
          <w:b/>
        </w:rPr>
      </w:pPr>
      <w:r>
        <w:rPr>
          <w:b/>
        </w:rPr>
        <w:t>Csomád Község</w:t>
      </w:r>
      <w:r w:rsidRPr="003A2743">
        <w:rPr>
          <w:b/>
        </w:rPr>
        <w:t xml:space="preserve"> Önkormányzat</w:t>
      </w:r>
      <w:r>
        <w:rPr>
          <w:b/>
        </w:rPr>
        <w:t xml:space="preserve"> </w:t>
      </w:r>
      <w:r w:rsidRPr="003A2743">
        <w:rPr>
          <w:b/>
        </w:rPr>
        <w:t>Képviselő-testületének</w:t>
      </w:r>
    </w:p>
    <w:p w:rsidR="00B23121" w:rsidRPr="003A2743" w:rsidRDefault="00B23121" w:rsidP="00B23121">
      <w:pPr>
        <w:jc w:val="center"/>
        <w:rPr>
          <w:b/>
        </w:rPr>
      </w:pPr>
      <w:r>
        <w:rPr>
          <w:b/>
        </w:rPr>
        <w:t>…/2017. (..</w:t>
      </w:r>
      <w:r w:rsidRPr="003A2743">
        <w:rPr>
          <w:b/>
        </w:rPr>
        <w:t>.) önkormányzati rendelete</w:t>
      </w:r>
    </w:p>
    <w:p w:rsidR="00B23121" w:rsidRPr="003A2743" w:rsidRDefault="00B23121" w:rsidP="00B23121">
      <w:pPr>
        <w:jc w:val="center"/>
        <w:rPr>
          <w:b/>
        </w:rPr>
      </w:pPr>
      <w:r w:rsidRPr="003A2743">
        <w:rPr>
          <w:b/>
        </w:rPr>
        <w:t>egyes önkormányzati rendeletek hatályon kívül helyezéséről</w:t>
      </w:r>
    </w:p>
    <w:p w:rsidR="00B23121" w:rsidRDefault="00B23121" w:rsidP="00B23121">
      <w:pPr>
        <w:jc w:val="both"/>
      </w:pPr>
    </w:p>
    <w:p w:rsidR="00B23121" w:rsidRDefault="00B23121" w:rsidP="00B23121">
      <w:pPr>
        <w:jc w:val="both"/>
      </w:pPr>
      <w:r>
        <w:rPr>
          <w:spacing w:val="-3"/>
        </w:rPr>
        <w:t>Csomád Község</w:t>
      </w:r>
      <w:r w:rsidRPr="00A470AC">
        <w:rPr>
          <w:spacing w:val="-3"/>
        </w:rPr>
        <w:t xml:space="preserve"> Önkormányzatának Képviselő-testülete Magyaror</w:t>
      </w:r>
      <w:r>
        <w:rPr>
          <w:spacing w:val="-3"/>
        </w:rPr>
        <w:t xml:space="preserve">szág Alaptörvényének 32. cikk (1) bekezdés a) pontjában kapott </w:t>
      </w:r>
      <w:r w:rsidRPr="00A470AC">
        <w:rPr>
          <w:spacing w:val="-3"/>
        </w:rPr>
        <w:t>fel</w:t>
      </w:r>
      <w:r w:rsidRPr="00A470AC">
        <w:t xml:space="preserve">hatalmazás </w:t>
      </w:r>
      <w:r>
        <w:t xml:space="preserve">alapján, </w:t>
      </w:r>
      <w:r w:rsidRPr="00A470AC">
        <w:t xml:space="preserve">valamint </w:t>
      </w:r>
      <w:r>
        <w:t>a jogalkotásról szóló 2010. évi CXXX. törvény 13.§ (2) bekezdésében meghatározott feladatkörében eljárva a következőket rendeli el.</w:t>
      </w:r>
    </w:p>
    <w:p w:rsidR="00B23121" w:rsidRDefault="00B23121" w:rsidP="00B23121">
      <w:pPr>
        <w:jc w:val="both"/>
      </w:pPr>
    </w:p>
    <w:p w:rsidR="00B23121" w:rsidRDefault="00B23121" w:rsidP="00B23121">
      <w:pPr>
        <w:jc w:val="center"/>
        <w:rPr>
          <w:b/>
        </w:rPr>
      </w:pPr>
      <w:r>
        <w:rPr>
          <w:b/>
        </w:rPr>
        <w:t>1.§</w:t>
      </w:r>
    </w:p>
    <w:p w:rsidR="00B23121" w:rsidRDefault="00B23121" w:rsidP="00B23121">
      <w:pPr>
        <w:tabs>
          <w:tab w:val="left" w:pos="0"/>
        </w:tabs>
        <w:jc w:val="both"/>
      </w:pPr>
      <w:r>
        <w:t xml:space="preserve">(1) Hatályát veszti Csomád Község  Önkormányzat Képviselő-testületének </w:t>
      </w:r>
      <w:r>
        <w:rPr>
          <w:lang w:eastAsia="hu-HU"/>
        </w:rPr>
        <w:t>Csomád Község Önkormányzat 2013. évi költségvetési zárszámadásáról szóló 4/2014. (IV. 18.) önkormányzati rendelete és Csomád Község Önkormányzat 2014. évi zárszámadásáról szóló 11/2015. (V. 20.) önkormányzati rendelete.</w:t>
      </w:r>
    </w:p>
    <w:p w:rsidR="00B23121" w:rsidRDefault="00B23121" w:rsidP="00B23121">
      <w:pPr>
        <w:jc w:val="both"/>
      </w:pPr>
    </w:p>
    <w:p w:rsidR="00B23121" w:rsidRDefault="00B23121" w:rsidP="00B23121">
      <w:pPr>
        <w:tabs>
          <w:tab w:val="left" w:pos="1843"/>
          <w:tab w:val="left" w:pos="3119"/>
        </w:tabs>
        <w:jc w:val="both"/>
      </w:pPr>
      <w:r>
        <w:t>(2) Hatályát veszti Csomád Község Önkormányzat Képviselő-testületének Az építészeti műszaki tervtanácsok létrehozásáról és működtetéséről szóló 5/2007. (V. 08.) önkormányzati rendelet hatályon kívül helyezéséről szóló 7/2016. (IV. 20.) önkormányzati rendelete.</w:t>
      </w:r>
    </w:p>
    <w:p w:rsidR="00B23121" w:rsidRDefault="00B23121" w:rsidP="00B23121">
      <w:pPr>
        <w:tabs>
          <w:tab w:val="left" w:pos="1843"/>
          <w:tab w:val="left" w:pos="3119"/>
        </w:tabs>
        <w:jc w:val="both"/>
      </w:pPr>
    </w:p>
    <w:p w:rsidR="00B23121" w:rsidRDefault="00B23121" w:rsidP="00B23121">
      <w:pPr>
        <w:jc w:val="both"/>
      </w:pPr>
    </w:p>
    <w:p w:rsidR="00B23121" w:rsidRDefault="00B23121" w:rsidP="00B23121">
      <w:pPr>
        <w:jc w:val="both"/>
      </w:pPr>
    </w:p>
    <w:p w:rsidR="00B23121" w:rsidRDefault="00B23121" w:rsidP="00B23121">
      <w:pPr>
        <w:jc w:val="center"/>
        <w:rPr>
          <w:b/>
        </w:rPr>
      </w:pPr>
      <w:r>
        <w:rPr>
          <w:b/>
        </w:rPr>
        <w:t>2.§</w:t>
      </w:r>
    </w:p>
    <w:p w:rsidR="00B23121" w:rsidRDefault="00B23121" w:rsidP="00B23121">
      <w:pPr>
        <w:jc w:val="center"/>
        <w:rPr>
          <w:b/>
        </w:rPr>
      </w:pPr>
    </w:p>
    <w:p w:rsidR="00B23121" w:rsidRDefault="00B23121" w:rsidP="00B23121">
      <w:pPr>
        <w:pStyle w:val="Tompa"/>
        <w:widowControl/>
        <w:spacing w:before="0" w:line="240" w:lineRule="auto"/>
      </w:pPr>
      <w:r>
        <w:t>Ez a rendelet a kihirdetését követő napon lép hatályba, és a következő napon hatályát veszti.</w:t>
      </w:r>
    </w:p>
    <w:p w:rsidR="00B23121" w:rsidRDefault="00B23121" w:rsidP="00B23121">
      <w:pPr>
        <w:jc w:val="both"/>
      </w:pPr>
    </w:p>
    <w:p w:rsidR="00B23121" w:rsidRDefault="00B23121" w:rsidP="00B23121">
      <w:pPr>
        <w:tabs>
          <w:tab w:val="left" w:pos="-720"/>
          <w:tab w:val="left" w:pos="0"/>
        </w:tabs>
        <w:jc w:val="both"/>
        <w:rPr>
          <w:spacing w:val="-3"/>
        </w:rPr>
      </w:pPr>
    </w:p>
    <w:p w:rsidR="00B23121" w:rsidRDefault="00B23121" w:rsidP="00B23121">
      <w:pPr>
        <w:tabs>
          <w:tab w:val="left" w:pos="-720"/>
          <w:tab w:val="left" w:pos="0"/>
        </w:tabs>
        <w:jc w:val="both"/>
        <w:rPr>
          <w:spacing w:val="-3"/>
        </w:rPr>
      </w:pPr>
    </w:p>
    <w:p w:rsidR="00B23121" w:rsidRDefault="00B23121" w:rsidP="00B23121">
      <w:pPr>
        <w:tabs>
          <w:tab w:val="left" w:pos="-720"/>
          <w:tab w:val="left" w:pos="0"/>
        </w:tabs>
        <w:jc w:val="both"/>
        <w:rPr>
          <w:spacing w:val="-3"/>
        </w:rPr>
      </w:pPr>
    </w:p>
    <w:p w:rsidR="00B23121" w:rsidRDefault="00B23121" w:rsidP="00B23121">
      <w:pPr>
        <w:pStyle w:val="Szvegtrzs"/>
        <w:tabs>
          <w:tab w:val="center" w:pos="2835"/>
          <w:tab w:val="center" w:pos="7371"/>
        </w:tabs>
        <w:rPr>
          <w:rFonts w:ascii="Times New Roman" w:hAnsi="Times New Roman"/>
        </w:rPr>
      </w:pPr>
      <w:r>
        <w:rPr>
          <w:rFonts w:ascii="Times New Roman" w:hAnsi="Times New Roman"/>
        </w:rPr>
        <w:t>Klement János</w:t>
      </w:r>
      <w:r>
        <w:rPr>
          <w:rFonts w:ascii="Times New Roman" w:hAnsi="Times New Roman"/>
        </w:rPr>
        <w:tab/>
      </w:r>
      <w:r>
        <w:rPr>
          <w:rFonts w:ascii="Times New Roman" w:hAnsi="Times New Roman"/>
        </w:rPr>
        <w:tab/>
      </w:r>
      <w:r>
        <w:rPr>
          <w:rFonts w:ascii="Times New Roman" w:hAnsi="Times New Roman"/>
        </w:rPr>
        <w:tab/>
        <w:t>Dr. Finta Béla</w:t>
      </w:r>
    </w:p>
    <w:p w:rsidR="00B23121" w:rsidRDefault="00B23121" w:rsidP="00B23121">
      <w:pPr>
        <w:tabs>
          <w:tab w:val="left" w:pos="-720"/>
          <w:tab w:val="center" w:pos="2835"/>
          <w:tab w:val="center" w:pos="7371"/>
        </w:tabs>
        <w:jc w:val="both"/>
        <w:rPr>
          <w:spacing w:val="-3"/>
        </w:rPr>
      </w:pPr>
      <w:r>
        <w:rPr>
          <w:spacing w:val="-3"/>
        </w:rPr>
        <w:t xml:space="preserve">     polgármester</w:t>
      </w:r>
      <w:r>
        <w:rPr>
          <w:spacing w:val="-3"/>
        </w:rPr>
        <w:tab/>
      </w:r>
      <w:r>
        <w:rPr>
          <w:spacing w:val="-3"/>
        </w:rPr>
        <w:tab/>
        <w:t>jegyző</w:t>
      </w:r>
    </w:p>
    <w:p w:rsidR="00B23121" w:rsidRDefault="00B23121" w:rsidP="00B23121">
      <w:pPr>
        <w:jc w:val="both"/>
      </w:pPr>
      <w:bookmarkStart w:id="0" w:name="_GoBack"/>
      <w:bookmarkEnd w:id="0"/>
      <w:r>
        <w:t xml:space="preserve"> </w:t>
      </w:r>
    </w:p>
    <w:p w:rsidR="00B23121" w:rsidRDefault="00B23121" w:rsidP="00B23121">
      <w:pPr>
        <w:pStyle w:val="NormlWeb"/>
        <w:spacing w:before="0" w:after="0"/>
        <w:jc w:val="center"/>
        <w:rPr>
          <w:b/>
          <w:bCs/>
        </w:rPr>
      </w:pPr>
    </w:p>
    <w:p w:rsidR="00B23121" w:rsidRDefault="00B23121" w:rsidP="00B23121">
      <w:pPr>
        <w:pStyle w:val="NormlWeb"/>
        <w:spacing w:before="0" w:after="0"/>
        <w:jc w:val="center"/>
        <w:rPr>
          <w:b/>
          <w:bCs/>
        </w:rPr>
      </w:pPr>
    </w:p>
    <w:p w:rsidR="00B23121" w:rsidRPr="00D75100" w:rsidRDefault="00B23121" w:rsidP="00B23121">
      <w:pPr>
        <w:pStyle w:val="NormlWeb"/>
        <w:spacing w:before="0" w:after="0"/>
        <w:jc w:val="center"/>
        <w:rPr>
          <w:b/>
          <w:bCs/>
          <w:color w:val="FF0000"/>
        </w:rPr>
      </w:pPr>
    </w:p>
    <w:p w:rsidR="00B23121" w:rsidRPr="00DC6817" w:rsidRDefault="00B23121" w:rsidP="00B23121">
      <w:pPr>
        <w:pStyle w:val="NormlWeb"/>
        <w:spacing w:before="0" w:after="0"/>
        <w:jc w:val="center"/>
        <w:rPr>
          <w:b/>
          <w:bCs/>
        </w:rPr>
      </w:pPr>
      <w:r w:rsidRPr="00DC6817">
        <w:rPr>
          <w:b/>
          <w:bCs/>
        </w:rPr>
        <w:t>INDOKOLÁS</w:t>
      </w:r>
    </w:p>
    <w:p w:rsidR="00B23121" w:rsidRPr="00DC6817" w:rsidRDefault="00B23121" w:rsidP="00B23121">
      <w:pPr>
        <w:pStyle w:val="NormlWeb"/>
        <w:spacing w:before="0" w:after="0"/>
        <w:jc w:val="center"/>
        <w:rPr>
          <w:b/>
          <w:bCs/>
        </w:rPr>
      </w:pPr>
    </w:p>
    <w:p w:rsidR="00B23121" w:rsidRPr="00DC6817" w:rsidRDefault="00B23121" w:rsidP="00B23121">
      <w:pPr>
        <w:tabs>
          <w:tab w:val="left" w:pos="900"/>
        </w:tabs>
        <w:jc w:val="center"/>
        <w:rPr>
          <w:b/>
        </w:rPr>
      </w:pPr>
      <w:r w:rsidRPr="00DC6817">
        <w:rPr>
          <w:b/>
        </w:rPr>
        <w:t>Általános indokolás</w:t>
      </w:r>
    </w:p>
    <w:p w:rsidR="00B23121" w:rsidRDefault="00B23121" w:rsidP="00B23121">
      <w:pPr>
        <w:tabs>
          <w:tab w:val="left" w:pos="900"/>
        </w:tabs>
        <w:jc w:val="center"/>
      </w:pPr>
    </w:p>
    <w:p w:rsidR="00B23121" w:rsidRPr="00DC6817" w:rsidRDefault="00B23121" w:rsidP="00B23121">
      <w:pPr>
        <w:tabs>
          <w:tab w:val="left" w:pos="900"/>
        </w:tabs>
        <w:jc w:val="both"/>
      </w:pPr>
      <w:r w:rsidRPr="00956DFE">
        <w:rPr>
          <w:bCs/>
        </w:rPr>
        <w:t>A jogalkotásról szóló 2010. évi CXXX. törvény előírja a jogszabályok folyamatos felülvizsgálatát.</w:t>
      </w:r>
    </w:p>
    <w:p w:rsidR="00B23121" w:rsidRDefault="00B23121" w:rsidP="00B23121">
      <w:pPr>
        <w:tabs>
          <w:tab w:val="left" w:pos="900"/>
        </w:tabs>
        <w:jc w:val="both"/>
        <w:rPr>
          <w:lang w:eastAsia="hu-HU"/>
        </w:rPr>
      </w:pPr>
      <w:r>
        <w:rPr>
          <w:lang w:eastAsia="hu-HU"/>
        </w:rPr>
        <w:t>A tervezett rendelettel hatályon kívül helyezni kívánt rendeletek tárgyában új rendeletek születtek, illetve a rendelettel elérni kívánt cél teljesült.</w:t>
      </w:r>
    </w:p>
    <w:p w:rsidR="00B23121" w:rsidRPr="00DC6817" w:rsidRDefault="00B23121" w:rsidP="00B23121">
      <w:pPr>
        <w:tabs>
          <w:tab w:val="left" w:pos="900"/>
        </w:tabs>
        <w:jc w:val="both"/>
      </w:pPr>
    </w:p>
    <w:p w:rsidR="00B23121" w:rsidRPr="00DC6817" w:rsidRDefault="00B23121" w:rsidP="00B23121">
      <w:pPr>
        <w:tabs>
          <w:tab w:val="left" w:pos="900"/>
        </w:tabs>
        <w:jc w:val="center"/>
        <w:rPr>
          <w:b/>
        </w:rPr>
      </w:pPr>
      <w:r w:rsidRPr="00DC6817">
        <w:rPr>
          <w:b/>
        </w:rPr>
        <w:t>Részletes indokolás</w:t>
      </w:r>
    </w:p>
    <w:p w:rsidR="00B23121" w:rsidRPr="00DC6817" w:rsidRDefault="00B23121" w:rsidP="00B23121">
      <w:pPr>
        <w:tabs>
          <w:tab w:val="left" w:pos="900"/>
        </w:tabs>
        <w:jc w:val="center"/>
        <w:rPr>
          <w:b/>
        </w:rPr>
      </w:pPr>
    </w:p>
    <w:p w:rsidR="00B23121" w:rsidRPr="00DC6817" w:rsidRDefault="00B23121" w:rsidP="00B23121">
      <w:pPr>
        <w:tabs>
          <w:tab w:val="left" w:pos="900"/>
        </w:tabs>
        <w:jc w:val="center"/>
      </w:pPr>
      <w:r w:rsidRPr="00DC6817">
        <w:t>1. §</w:t>
      </w:r>
      <w:proofErr w:type="spellStart"/>
      <w:r w:rsidRPr="00DC6817">
        <w:t>-hoz</w:t>
      </w:r>
      <w:proofErr w:type="spellEnd"/>
    </w:p>
    <w:p w:rsidR="00B23121" w:rsidRDefault="00B23121" w:rsidP="00B23121">
      <w:pPr>
        <w:tabs>
          <w:tab w:val="left" w:pos="900"/>
        </w:tabs>
        <w:jc w:val="both"/>
      </w:pPr>
    </w:p>
    <w:p w:rsidR="00B23121" w:rsidRPr="00DC6817" w:rsidRDefault="00B23121" w:rsidP="00B23121">
      <w:pPr>
        <w:tabs>
          <w:tab w:val="left" w:pos="900"/>
        </w:tabs>
        <w:jc w:val="both"/>
      </w:pPr>
      <w:r>
        <w:t>Hatályon kívül helyező rendelkezéseket tartalmaz.</w:t>
      </w:r>
    </w:p>
    <w:p w:rsidR="00B23121" w:rsidRPr="00DC6817" w:rsidRDefault="00B23121" w:rsidP="00B23121">
      <w:pPr>
        <w:tabs>
          <w:tab w:val="left" w:pos="900"/>
        </w:tabs>
        <w:jc w:val="both"/>
      </w:pPr>
    </w:p>
    <w:p w:rsidR="00B23121" w:rsidRPr="00DC6817" w:rsidRDefault="00B23121" w:rsidP="00B23121">
      <w:pPr>
        <w:tabs>
          <w:tab w:val="left" w:pos="900"/>
        </w:tabs>
        <w:jc w:val="center"/>
      </w:pPr>
      <w:r w:rsidRPr="00DC6817">
        <w:t xml:space="preserve"> 2. §</w:t>
      </w:r>
      <w:proofErr w:type="spellStart"/>
      <w:r w:rsidRPr="00DC6817">
        <w:t>-hoz</w:t>
      </w:r>
      <w:proofErr w:type="spellEnd"/>
    </w:p>
    <w:p w:rsidR="00B23121" w:rsidRPr="00DC6817" w:rsidRDefault="00B23121" w:rsidP="00B23121">
      <w:pPr>
        <w:tabs>
          <w:tab w:val="left" w:pos="2127"/>
          <w:tab w:val="left" w:pos="5220"/>
        </w:tabs>
      </w:pPr>
    </w:p>
    <w:p w:rsidR="00B23121" w:rsidRPr="00DC6817" w:rsidRDefault="00B23121" w:rsidP="00B23121">
      <w:pPr>
        <w:tabs>
          <w:tab w:val="left" w:pos="2127"/>
          <w:tab w:val="left" w:pos="5220"/>
        </w:tabs>
      </w:pPr>
      <w:r w:rsidRPr="00DC6817">
        <w:t xml:space="preserve">Hatályba léptető </w:t>
      </w:r>
      <w:r>
        <w:t>rendelkezés</w:t>
      </w:r>
      <w:r w:rsidRPr="00DC6817">
        <w:t>t tartalmaz.</w:t>
      </w:r>
    </w:p>
    <w:p w:rsidR="00B23121" w:rsidRPr="00D75100" w:rsidRDefault="00B23121" w:rsidP="00B23121">
      <w:pPr>
        <w:tabs>
          <w:tab w:val="left" w:pos="2127"/>
          <w:tab w:val="left" w:pos="5220"/>
        </w:tabs>
        <w:rPr>
          <w:color w:val="FF0000"/>
        </w:rPr>
      </w:pPr>
    </w:p>
    <w:p w:rsidR="00B23121" w:rsidRPr="00D75100" w:rsidRDefault="00B23121" w:rsidP="00B23121">
      <w:pPr>
        <w:pStyle w:val="NormlWeb"/>
        <w:spacing w:before="0" w:after="0"/>
        <w:jc w:val="center"/>
        <w:rPr>
          <w:b/>
          <w:bCs/>
          <w:color w:val="FF0000"/>
        </w:rPr>
      </w:pPr>
    </w:p>
    <w:p w:rsidR="00B23121" w:rsidRPr="00DC6817" w:rsidRDefault="00B23121" w:rsidP="00B23121">
      <w:pPr>
        <w:jc w:val="center"/>
        <w:rPr>
          <w:b/>
        </w:rPr>
      </w:pPr>
      <w:r w:rsidRPr="00DC6817">
        <w:rPr>
          <w:b/>
        </w:rPr>
        <w:t>Előzetes hatásvizsgálati lap</w:t>
      </w:r>
    </w:p>
    <w:p w:rsidR="00B23121" w:rsidRPr="00DC6817" w:rsidRDefault="00B23121" w:rsidP="00B23121">
      <w:pPr>
        <w:jc w:val="center"/>
        <w:rPr>
          <w:i/>
        </w:rPr>
      </w:pPr>
      <w:r w:rsidRPr="00DC6817">
        <w:rPr>
          <w:i/>
        </w:rPr>
        <w:t>(A jogalkotásról szóló 2010. évi CXXX. törvény 17.§</w:t>
      </w:r>
      <w:proofErr w:type="spellStart"/>
      <w:r w:rsidRPr="00DC6817">
        <w:rPr>
          <w:i/>
        </w:rPr>
        <w:t>-a</w:t>
      </w:r>
      <w:proofErr w:type="spellEnd"/>
      <w:r w:rsidRPr="00DC6817">
        <w:rPr>
          <w:i/>
        </w:rPr>
        <w:t xml:space="preserve"> alapján) </w:t>
      </w:r>
    </w:p>
    <w:p w:rsidR="00B23121" w:rsidRPr="00DC6817" w:rsidRDefault="00B23121" w:rsidP="00B23121">
      <w:pPr>
        <w:jc w:val="center"/>
      </w:pPr>
    </w:p>
    <w:p w:rsidR="00B23121" w:rsidRPr="00DC6817" w:rsidRDefault="00B23121" w:rsidP="00B23121">
      <w:pPr>
        <w:jc w:val="center"/>
      </w:pPr>
    </w:p>
    <w:p w:rsidR="00B23121" w:rsidRPr="00DC6817" w:rsidRDefault="00B23121" w:rsidP="00B23121">
      <w:pPr>
        <w:jc w:val="both"/>
        <w:rPr>
          <w:b/>
        </w:rPr>
      </w:pPr>
      <w:r w:rsidRPr="00DC6817">
        <w:rPr>
          <w:u w:val="single"/>
        </w:rPr>
        <w:t>A tervezett jogszabály tárgya</w:t>
      </w:r>
      <w:r w:rsidRPr="00DC6817">
        <w:t xml:space="preserve">: </w:t>
      </w:r>
      <w:r>
        <w:rPr>
          <w:b/>
          <w:bCs/>
        </w:rPr>
        <w:t>egyes önkormányzati rendeletek hatályon kívül helyezéséről</w:t>
      </w:r>
    </w:p>
    <w:p w:rsidR="00B23121" w:rsidRPr="00DC6817" w:rsidRDefault="00B23121" w:rsidP="00B23121">
      <w:pPr>
        <w:jc w:val="both"/>
        <w:rPr>
          <w:b/>
        </w:rPr>
      </w:pPr>
    </w:p>
    <w:p w:rsidR="00B23121" w:rsidRPr="00DC6817" w:rsidRDefault="00B23121" w:rsidP="00B23121">
      <w:pPr>
        <w:numPr>
          <w:ilvl w:val="0"/>
          <w:numId w:val="2"/>
        </w:numPr>
        <w:suppressAutoHyphens w:val="0"/>
        <w:jc w:val="both"/>
      </w:pPr>
      <w:r w:rsidRPr="00DC6817">
        <w:t>A tervezett jogszabály valamennyi jelentősnek ítélt hatásai, különösen:</w:t>
      </w:r>
    </w:p>
    <w:p w:rsidR="00B23121" w:rsidRPr="00DC6817" w:rsidRDefault="00B23121" w:rsidP="00B23121">
      <w:pPr>
        <w:jc w:val="both"/>
      </w:pPr>
    </w:p>
    <w:p w:rsidR="00B23121" w:rsidRPr="00DC6817" w:rsidRDefault="00B23121" w:rsidP="00B23121">
      <w:pPr>
        <w:ind w:left="720"/>
        <w:jc w:val="both"/>
      </w:pPr>
      <w:proofErr w:type="spellStart"/>
      <w:r w:rsidRPr="00DC6817">
        <w:t>aa</w:t>
      </w:r>
      <w:proofErr w:type="spellEnd"/>
      <w:r w:rsidRPr="00DC6817">
        <w:t>)</w:t>
      </w:r>
    </w:p>
    <w:p w:rsidR="00B23121" w:rsidRPr="00DF2975" w:rsidRDefault="00B23121" w:rsidP="00B23121">
      <w:pPr>
        <w:numPr>
          <w:ilvl w:val="0"/>
          <w:numId w:val="3"/>
        </w:numPr>
        <w:suppressAutoHyphens w:val="0"/>
        <w:spacing w:line="360" w:lineRule="auto"/>
        <w:jc w:val="both"/>
      </w:pPr>
      <w:r w:rsidRPr="00DF2975">
        <w:t>Társadalmi hatásai: A tervezett jogszabálynak jelentős társadalmi hatása nincs.</w:t>
      </w:r>
    </w:p>
    <w:p w:rsidR="00B23121" w:rsidRPr="00DC6817" w:rsidRDefault="00B23121" w:rsidP="00B23121">
      <w:pPr>
        <w:numPr>
          <w:ilvl w:val="0"/>
          <w:numId w:val="3"/>
        </w:numPr>
        <w:suppressAutoHyphens w:val="0"/>
        <w:spacing w:line="360" w:lineRule="auto"/>
        <w:jc w:val="both"/>
      </w:pPr>
      <w:r w:rsidRPr="00DC6817">
        <w:t>Gazdasági hatásai: A tervezett jogszabálynak gazdasági hatása nincs.</w:t>
      </w:r>
    </w:p>
    <w:p w:rsidR="00B23121" w:rsidRPr="00DC6817" w:rsidRDefault="00B23121" w:rsidP="00B23121">
      <w:pPr>
        <w:numPr>
          <w:ilvl w:val="0"/>
          <w:numId w:val="3"/>
        </w:numPr>
        <w:suppressAutoHyphens w:val="0"/>
        <w:spacing w:line="360" w:lineRule="auto"/>
        <w:jc w:val="both"/>
      </w:pPr>
      <w:r w:rsidRPr="00DC6817">
        <w:t>Költségvetési hatásai</w:t>
      </w:r>
      <w:r w:rsidRPr="00EC1CF6">
        <w:rPr>
          <w:color w:val="FF0000"/>
        </w:rPr>
        <w:t xml:space="preserve">: </w:t>
      </w:r>
      <w:r w:rsidRPr="00DF2975">
        <w:t>A tervezett jogszabálynak költségvetési hatása nincs.</w:t>
      </w:r>
    </w:p>
    <w:p w:rsidR="00B23121" w:rsidRPr="00DC6817" w:rsidRDefault="00B23121" w:rsidP="00B23121">
      <w:pPr>
        <w:spacing w:line="360" w:lineRule="auto"/>
        <w:ind w:left="720"/>
        <w:jc w:val="both"/>
      </w:pPr>
      <w:r w:rsidRPr="00DC6817">
        <w:t>ab)</w:t>
      </w:r>
    </w:p>
    <w:p w:rsidR="00B23121" w:rsidRPr="00DC6817" w:rsidRDefault="00B23121" w:rsidP="00B23121">
      <w:pPr>
        <w:numPr>
          <w:ilvl w:val="0"/>
          <w:numId w:val="4"/>
        </w:numPr>
        <w:suppressAutoHyphens w:val="0"/>
        <w:spacing w:line="360" w:lineRule="auto"/>
        <w:jc w:val="both"/>
      </w:pPr>
      <w:r w:rsidRPr="00DC6817">
        <w:t xml:space="preserve">Környezeti következményei:  A tervezetnek környezeti hatása nincs.  </w:t>
      </w:r>
    </w:p>
    <w:p w:rsidR="00B23121" w:rsidRPr="00DC6817" w:rsidRDefault="00B23121" w:rsidP="00B23121">
      <w:pPr>
        <w:numPr>
          <w:ilvl w:val="0"/>
          <w:numId w:val="4"/>
        </w:numPr>
        <w:suppressAutoHyphens w:val="0"/>
        <w:spacing w:line="360" w:lineRule="auto"/>
        <w:jc w:val="both"/>
      </w:pPr>
      <w:r w:rsidRPr="00DC6817">
        <w:t>Egészségi következményei: A tervezett jogszabálynak egészségi következményei nincsenek.</w:t>
      </w:r>
    </w:p>
    <w:p w:rsidR="00B23121" w:rsidRPr="00DC6817" w:rsidRDefault="00B23121" w:rsidP="00B23121">
      <w:pPr>
        <w:numPr>
          <w:ilvl w:val="0"/>
          <w:numId w:val="4"/>
        </w:numPr>
        <w:suppressAutoHyphens w:val="0"/>
        <w:spacing w:line="360" w:lineRule="auto"/>
        <w:jc w:val="both"/>
      </w:pPr>
      <w:r w:rsidRPr="00DC6817">
        <w:t>Adminisztratív terheket befolyásoló hatásai: A tervezett jogszabály az adminisztratív terheket nem növeli.</w:t>
      </w:r>
    </w:p>
    <w:p w:rsidR="00B23121" w:rsidRPr="00DC6817" w:rsidRDefault="00B23121" w:rsidP="00B23121">
      <w:pPr>
        <w:spacing w:line="360" w:lineRule="auto"/>
        <w:jc w:val="both"/>
      </w:pPr>
    </w:p>
    <w:p w:rsidR="00B23121" w:rsidRPr="00DF2975" w:rsidRDefault="00B23121" w:rsidP="00B23121">
      <w:pPr>
        <w:numPr>
          <w:ilvl w:val="0"/>
          <w:numId w:val="1"/>
        </w:numPr>
        <w:suppressAutoHyphens w:val="0"/>
        <w:spacing w:after="200" w:line="360" w:lineRule="auto"/>
        <w:jc w:val="both"/>
      </w:pPr>
      <w:r w:rsidRPr="00DF2975">
        <w:t xml:space="preserve">A jogszabály megalkotásának szükségessége, a jogalkotás elmaradásának várható következményei:  A jogszabály megalkotása a </w:t>
      </w:r>
      <w:r w:rsidRPr="00DF2975">
        <w:rPr>
          <w:bCs/>
        </w:rPr>
        <w:t xml:space="preserve"> jogalkotásról szóló 2010. évi CXXX. törvény </w:t>
      </w:r>
      <w:r w:rsidRPr="00DF2975">
        <w:t>alapján indokolt.</w:t>
      </w:r>
    </w:p>
    <w:p w:rsidR="00B23121" w:rsidRPr="00DC6817" w:rsidRDefault="00B23121" w:rsidP="00B23121">
      <w:pPr>
        <w:numPr>
          <w:ilvl w:val="0"/>
          <w:numId w:val="1"/>
        </w:numPr>
        <w:suppressAutoHyphens w:val="0"/>
        <w:spacing w:line="360" w:lineRule="auto"/>
        <w:jc w:val="both"/>
      </w:pPr>
      <w:r w:rsidRPr="00DC6817">
        <w:t>A jogszabály alkalmazásához szükséges személyi, szervezeti, tárgyi és pénzügyi feltételek: A szükséges személyi, tárgyi és pénzügyi feltételek biztosítottak.</w:t>
      </w:r>
    </w:p>
    <w:p w:rsidR="009C1781" w:rsidRDefault="009C1781"/>
    <w:sectPr w:rsidR="009C1781" w:rsidSect="009C17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405E"/>
    <w:multiLevelType w:val="hybridMultilevel"/>
    <w:tmpl w:val="125494CE"/>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3121258"/>
    <w:multiLevelType w:val="hybridMultilevel"/>
    <w:tmpl w:val="E2DE0D86"/>
    <w:lvl w:ilvl="0" w:tplc="1B5AC878">
      <w:start w:val="1"/>
      <w:numFmt w:val="lowerLetter"/>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8E956AE"/>
    <w:multiLevelType w:val="hybridMultilevel"/>
    <w:tmpl w:val="342CD5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94778C5"/>
    <w:multiLevelType w:val="hybridMultilevel"/>
    <w:tmpl w:val="BDE21D5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79EB794D"/>
    <w:multiLevelType w:val="hybridMultilevel"/>
    <w:tmpl w:val="899E04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3121"/>
    <w:rsid w:val="009C1781"/>
    <w:rsid w:val="00B2312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3121"/>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B23121"/>
    <w:pPr>
      <w:spacing w:before="280" w:after="280"/>
    </w:pPr>
  </w:style>
  <w:style w:type="paragraph" w:customStyle="1" w:styleId="Tompa">
    <w:name w:val="Tompa"/>
    <w:basedOn w:val="Norml"/>
    <w:uiPriority w:val="99"/>
    <w:rsid w:val="00B23121"/>
    <w:pPr>
      <w:widowControl w:val="0"/>
      <w:suppressAutoHyphens w:val="0"/>
      <w:overflowPunct w:val="0"/>
      <w:autoSpaceDE w:val="0"/>
      <w:autoSpaceDN w:val="0"/>
      <w:adjustRightInd w:val="0"/>
      <w:spacing w:before="120" w:line="-300" w:lineRule="auto"/>
      <w:jc w:val="both"/>
      <w:textAlignment w:val="baseline"/>
    </w:pPr>
    <w:rPr>
      <w:rFonts w:eastAsia="Calibri"/>
      <w:szCs w:val="20"/>
      <w:lang w:eastAsia="hu-HU"/>
    </w:rPr>
  </w:style>
  <w:style w:type="paragraph" w:styleId="Szvegtrzs">
    <w:name w:val="Body Text"/>
    <w:aliases w:val="b,Body Text Char1,Body Text Char Char,Body Text Char1 Char Char,Body Text Char Char Char Char,Body Text Char1 Char Char Char Char,Body Text Char Char1 Char Char Char Char,Body Text Char1 Char Char Char Char Char Char"/>
    <w:basedOn w:val="Norml"/>
    <w:link w:val="SzvegtrzsChar"/>
    <w:uiPriority w:val="99"/>
    <w:rsid w:val="00B23121"/>
    <w:pPr>
      <w:numPr>
        <w:ilvl w:val="8"/>
      </w:numPr>
      <w:tabs>
        <w:tab w:val="num" w:pos="2340"/>
      </w:tabs>
      <w:suppressAutoHyphens w:val="0"/>
      <w:ind w:left="2340" w:hanging="2160"/>
      <w:jc w:val="both"/>
    </w:pPr>
    <w:rPr>
      <w:rFonts w:ascii="Arial" w:eastAsia="Calibri" w:hAnsi="Arial"/>
      <w:szCs w:val="20"/>
      <w:lang w:eastAsia="hu-HU"/>
    </w:rPr>
  </w:style>
  <w:style w:type="character" w:customStyle="1" w:styleId="SzvegtrzsChar">
    <w:name w:val="Szövegtörzs Char"/>
    <w:aliases w:val="b Char,Body Text Char1 Char,Body Text Char Char Char,Body Text Char1 Char Char Char,Body Text Char Char Char Char Char,Body Text Char1 Char Char Char Char Char,Body Text Char Char1 Char Char Char Char Char"/>
    <w:basedOn w:val="Bekezdsalapbettpusa"/>
    <w:link w:val="Szvegtrzs"/>
    <w:uiPriority w:val="99"/>
    <w:rsid w:val="00B23121"/>
    <w:rPr>
      <w:rFonts w:ascii="Arial" w:eastAsia="Calibri" w:hAnsi="Arial" w:cs="Times New Roman"/>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2355</Characters>
  <Application>Microsoft Office Word</Application>
  <DocSecurity>0</DocSecurity>
  <Lines>19</Lines>
  <Paragraphs>5</Paragraphs>
  <ScaleCrop>false</ScaleCrop>
  <Company>Fót Város Polgármesteri Hivatala</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dc:description/>
  <cp:lastModifiedBy>Katinka</cp:lastModifiedBy>
  <cp:revision>1</cp:revision>
  <dcterms:created xsi:type="dcterms:W3CDTF">2017-09-15T08:26:00Z</dcterms:created>
  <dcterms:modified xsi:type="dcterms:W3CDTF">2017-09-15T08:26:00Z</dcterms:modified>
</cp:coreProperties>
</file>